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bCs/>
          <w:szCs w:val="44"/>
        </w:rPr>
      </w:pPr>
      <w:r>
        <w:rPr>
          <w:rFonts w:hint="eastAsia" w:ascii="黑体" w:hAnsi="黑体" w:eastAsia="黑体"/>
          <w:bCs/>
          <w:szCs w:val="44"/>
        </w:rPr>
        <w:t>附件2</w:t>
      </w:r>
    </w:p>
    <w:p>
      <w:pPr>
        <w:jc w:val="center"/>
        <w:rPr>
          <w:rFonts w:ascii="方正小标宋简体" w:hAnsi="Arial" w:eastAsia="方正小标宋简体" w:cs="Arial"/>
          <w:sz w:val="40"/>
          <w:szCs w:val="40"/>
        </w:rPr>
      </w:pPr>
      <w:r>
        <w:rPr>
          <w:rFonts w:hint="eastAsia" w:ascii="方正小标宋简体" w:hAnsi="Arial" w:eastAsia="方正小标宋简体" w:cs="Arial"/>
          <w:sz w:val="40"/>
          <w:szCs w:val="40"/>
        </w:rPr>
        <w:t>开封市中医院2023年卫生健康系统差供单位参加养老保险改革市市级补助资金项目单位自评总结报告</w:t>
      </w:r>
    </w:p>
    <w:p>
      <w:pPr>
        <w:ind w:firstLine="640" w:firstLineChars="200"/>
        <w:rPr>
          <w:rFonts w:ascii="黑体" w:hAnsi="黑体" w:eastAsia="黑体" w:cs="黑体"/>
          <w:bCs/>
          <w:sz w:val="32"/>
          <w:szCs w:val="32"/>
        </w:rPr>
      </w:pPr>
      <w:r>
        <w:rPr>
          <w:rFonts w:hint="eastAsia" w:ascii="黑体" w:hAnsi="黑体" w:eastAsia="黑体" w:cs="黑体"/>
          <w:bCs/>
          <w:sz w:val="32"/>
          <w:szCs w:val="32"/>
        </w:rPr>
        <w:t>一、项目支出基本情况</w:t>
      </w:r>
    </w:p>
    <w:p>
      <w:pPr>
        <w:ind w:firstLine="640" w:firstLineChars="200"/>
        <w:outlineLvl w:val="0"/>
        <w:rPr>
          <w:rFonts w:ascii="仿宋_GB2312"/>
          <w:sz w:val="32"/>
          <w:szCs w:val="32"/>
        </w:rPr>
      </w:pPr>
      <w:r>
        <w:rPr>
          <w:rFonts w:hint="eastAsia" w:ascii="仿宋_GB2312"/>
          <w:sz w:val="32"/>
          <w:szCs w:val="32"/>
        </w:rPr>
        <w:t>本项目为2023年卫生健康系统差供单位参加养老保险改革市市级补助资金。</w:t>
      </w:r>
      <w:r>
        <w:rPr>
          <w:rFonts w:hint="eastAsia" w:ascii="仿宋_GB2312"/>
          <w:sz w:val="32"/>
          <w:szCs w:val="32"/>
          <w:lang w:val="en-US" w:eastAsia="zh-CN"/>
        </w:rPr>
        <w:t>全部</w:t>
      </w:r>
      <w:r>
        <w:rPr>
          <w:rFonts w:hint="eastAsia" w:ascii="仿宋_GB2312"/>
          <w:sz w:val="32"/>
          <w:szCs w:val="32"/>
        </w:rPr>
        <w:t>用于本单位</w:t>
      </w:r>
      <w:r>
        <w:rPr>
          <w:rFonts w:hint="eastAsia" w:ascii="仿宋_GB2312"/>
          <w:sz w:val="32"/>
          <w:szCs w:val="32"/>
          <w:lang w:val="en-US" w:eastAsia="zh-CN"/>
        </w:rPr>
        <w:t>职工</w:t>
      </w:r>
      <w:r>
        <w:rPr>
          <w:rFonts w:hint="eastAsia" w:ascii="仿宋_GB2312"/>
          <w:sz w:val="32"/>
          <w:szCs w:val="32"/>
        </w:rPr>
        <w:t>养老保险</w:t>
      </w:r>
      <w:r>
        <w:rPr>
          <w:rFonts w:hint="eastAsia" w:ascii="仿宋_GB2312"/>
          <w:sz w:val="32"/>
          <w:szCs w:val="32"/>
          <w:lang w:val="en-US" w:eastAsia="zh-CN"/>
        </w:rPr>
        <w:t>及职业年金</w:t>
      </w:r>
      <w:r>
        <w:rPr>
          <w:rFonts w:hint="eastAsia" w:ascii="仿宋_GB2312"/>
          <w:sz w:val="32"/>
          <w:szCs w:val="32"/>
        </w:rPr>
        <w:t>缴纳，全年预算数为</w:t>
      </w:r>
      <w:r>
        <w:rPr>
          <w:rFonts w:hint="eastAsia" w:ascii="仿宋_GB2312"/>
          <w:sz w:val="32"/>
          <w:szCs w:val="32"/>
          <w:lang w:val="en-US" w:eastAsia="zh-CN"/>
        </w:rPr>
        <w:t>192</w:t>
      </w:r>
      <w:r>
        <w:rPr>
          <w:rFonts w:hint="eastAsia" w:ascii="仿宋_GB2312"/>
          <w:sz w:val="32"/>
          <w:szCs w:val="32"/>
        </w:rPr>
        <w:t>万</w:t>
      </w:r>
      <w:r>
        <w:rPr>
          <w:rFonts w:hint="eastAsia" w:ascii="仿宋_GB2312"/>
          <w:sz w:val="32"/>
          <w:szCs w:val="32"/>
          <w:lang w:val="en-US" w:eastAsia="zh-CN"/>
        </w:rPr>
        <w:t>元</w:t>
      </w:r>
      <w:r>
        <w:rPr>
          <w:rFonts w:hint="eastAsia" w:ascii="仿宋_GB2312"/>
          <w:sz w:val="32"/>
          <w:szCs w:val="32"/>
        </w:rPr>
        <w:t>，实际执行数为</w:t>
      </w:r>
      <w:r>
        <w:rPr>
          <w:rFonts w:hint="eastAsia" w:ascii="仿宋_GB2312"/>
          <w:sz w:val="32"/>
          <w:szCs w:val="32"/>
          <w:lang w:val="en-US" w:eastAsia="zh-CN"/>
        </w:rPr>
        <w:t>192</w:t>
      </w:r>
      <w:r>
        <w:rPr>
          <w:rFonts w:hint="eastAsia" w:ascii="仿宋_GB2312"/>
          <w:sz w:val="32"/>
          <w:szCs w:val="32"/>
        </w:rPr>
        <w:t>万。</w:t>
      </w:r>
    </w:p>
    <w:p>
      <w:pPr>
        <w:ind w:firstLine="640" w:firstLineChars="200"/>
        <w:rPr>
          <w:rFonts w:ascii="黑体" w:hAnsi="黑体" w:eastAsia="黑体" w:cs="黑体"/>
          <w:bCs/>
          <w:sz w:val="32"/>
          <w:szCs w:val="32"/>
        </w:rPr>
      </w:pPr>
      <w:r>
        <w:rPr>
          <w:rFonts w:hint="eastAsia" w:ascii="黑体" w:hAnsi="黑体" w:eastAsia="黑体" w:cs="黑体"/>
          <w:bCs/>
          <w:sz w:val="32"/>
          <w:szCs w:val="32"/>
        </w:rPr>
        <w:t>二、单位自评工作开展情况</w:t>
      </w:r>
    </w:p>
    <w:p>
      <w:pPr>
        <w:ind w:firstLine="640" w:firstLineChars="200"/>
        <w:outlineLvl w:val="0"/>
        <w:rPr>
          <w:rFonts w:ascii="仿宋_GB2312"/>
          <w:sz w:val="32"/>
          <w:szCs w:val="32"/>
        </w:rPr>
      </w:pPr>
      <w:r>
        <w:rPr>
          <w:rFonts w:hint="eastAsia" w:ascii="仿宋_GB2312"/>
          <w:sz w:val="32"/>
          <w:szCs w:val="32"/>
          <w:lang w:val="en-US" w:eastAsia="zh-CN"/>
        </w:rPr>
        <w:t>本单位</w:t>
      </w:r>
      <w:r>
        <w:rPr>
          <w:rFonts w:hint="eastAsia" w:ascii="仿宋_GB2312"/>
          <w:sz w:val="32"/>
          <w:szCs w:val="32"/>
        </w:rPr>
        <w:t>严格执行预算资金管理有关制度，合理规范用于职工养老保险</w:t>
      </w:r>
      <w:r>
        <w:rPr>
          <w:rFonts w:hint="eastAsia" w:ascii="仿宋_GB2312"/>
          <w:sz w:val="32"/>
          <w:szCs w:val="32"/>
          <w:lang w:eastAsia="zh-CN"/>
        </w:rPr>
        <w:t>、</w:t>
      </w:r>
      <w:r>
        <w:rPr>
          <w:rFonts w:hint="eastAsia" w:ascii="仿宋_GB2312"/>
          <w:sz w:val="32"/>
          <w:szCs w:val="32"/>
          <w:lang w:val="en-US" w:eastAsia="zh-CN"/>
        </w:rPr>
        <w:t>职业年金等险种的缴纳</w:t>
      </w:r>
      <w:r>
        <w:rPr>
          <w:rFonts w:hint="eastAsia" w:ascii="仿宋_GB2312"/>
          <w:sz w:val="32"/>
          <w:szCs w:val="32"/>
          <w:lang w:eastAsia="zh-CN"/>
        </w:rPr>
        <w:t>，预算完成率100%</w:t>
      </w:r>
      <w:r>
        <w:rPr>
          <w:rFonts w:hint="eastAsia" w:ascii="仿宋_GB2312"/>
          <w:sz w:val="32"/>
          <w:szCs w:val="32"/>
          <w:lang w:val="en-US" w:eastAsia="zh-CN"/>
        </w:rPr>
        <w:t>较好地完成了年度总目标。</w:t>
      </w:r>
    </w:p>
    <w:p>
      <w:pPr>
        <w:ind w:firstLine="640" w:firstLineChars="200"/>
        <w:rPr>
          <w:rFonts w:ascii="黑体" w:hAnsi="黑体" w:eastAsia="黑体" w:cs="黑体"/>
          <w:bCs/>
          <w:sz w:val="32"/>
          <w:szCs w:val="32"/>
        </w:rPr>
      </w:pPr>
      <w:r>
        <w:rPr>
          <w:rFonts w:hint="eastAsia" w:ascii="黑体" w:hAnsi="黑体" w:eastAsia="黑体" w:cs="黑体"/>
          <w:bCs/>
          <w:sz w:val="32"/>
          <w:szCs w:val="32"/>
        </w:rPr>
        <w:t>三、单位</w:t>
      </w:r>
      <w:r>
        <w:rPr>
          <w:rFonts w:ascii="黑体" w:hAnsi="黑体" w:eastAsia="黑体" w:cs="黑体"/>
          <w:bCs/>
          <w:sz w:val="32"/>
          <w:szCs w:val="32"/>
        </w:rPr>
        <w:t>自评</w:t>
      </w:r>
      <w:r>
        <w:rPr>
          <w:rFonts w:hint="eastAsia" w:ascii="黑体" w:hAnsi="黑体" w:eastAsia="黑体" w:cs="黑体"/>
          <w:bCs/>
          <w:sz w:val="32"/>
          <w:szCs w:val="32"/>
        </w:rPr>
        <w:t>结果及分析</w:t>
      </w:r>
    </w:p>
    <w:p>
      <w:pPr>
        <w:ind w:firstLine="640" w:firstLineChars="200"/>
        <w:outlineLvl w:val="0"/>
        <w:rPr>
          <w:rFonts w:ascii="仿宋_GB2312"/>
          <w:sz w:val="32"/>
          <w:szCs w:val="32"/>
        </w:rPr>
      </w:pPr>
      <w:r>
        <w:rPr>
          <w:rFonts w:hint="eastAsia" w:ascii="仿宋_GB2312"/>
          <w:sz w:val="32"/>
          <w:szCs w:val="32"/>
        </w:rPr>
        <w:t>（一）自评结果</w:t>
      </w:r>
    </w:p>
    <w:p>
      <w:pPr>
        <w:ind w:firstLine="640" w:firstLineChars="200"/>
        <w:outlineLvl w:val="0"/>
        <w:rPr>
          <w:rFonts w:hint="eastAsia" w:ascii="仿宋_GB2312"/>
          <w:sz w:val="32"/>
          <w:szCs w:val="32"/>
        </w:rPr>
      </w:pPr>
      <w:r>
        <w:rPr>
          <w:rFonts w:hint="eastAsia" w:ascii="仿宋_GB2312"/>
          <w:sz w:val="32"/>
          <w:szCs w:val="32"/>
          <w:lang w:val="en-US" w:eastAsia="zh-CN"/>
        </w:rPr>
        <w:t>1.</w:t>
      </w:r>
      <w:r>
        <w:rPr>
          <w:rFonts w:hint="eastAsia" w:ascii="仿宋_GB2312"/>
          <w:sz w:val="32"/>
          <w:szCs w:val="32"/>
        </w:rPr>
        <w:t>数量指标。年初设定20</w:t>
      </w:r>
      <w:r>
        <w:rPr>
          <w:rFonts w:hint="eastAsia" w:ascii="仿宋_GB2312"/>
          <w:sz w:val="32"/>
          <w:szCs w:val="32"/>
          <w:lang w:val="en-US" w:eastAsia="zh-CN"/>
        </w:rPr>
        <w:t>23</w:t>
      </w:r>
      <w:r>
        <w:rPr>
          <w:rFonts w:hint="eastAsia" w:ascii="仿宋_GB2312"/>
          <w:sz w:val="32"/>
          <w:szCs w:val="32"/>
        </w:rPr>
        <w:t>年财政缴费补助年度指标值为</w:t>
      </w:r>
      <w:r>
        <w:rPr>
          <w:rFonts w:hint="eastAsia" w:ascii="仿宋_GB2312"/>
          <w:sz w:val="32"/>
          <w:szCs w:val="32"/>
          <w:lang w:val="en-US" w:eastAsia="zh-CN"/>
        </w:rPr>
        <w:t>192</w:t>
      </w:r>
      <w:r>
        <w:rPr>
          <w:rFonts w:hint="eastAsia" w:ascii="仿宋_GB2312"/>
          <w:sz w:val="32"/>
          <w:szCs w:val="32"/>
        </w:rPr>
        <w:t>万元，实际完成值为</w:t>
      </w:r>
      <w:r>
        <w:rPr>
          <w:rFonts w:hint="eastAsia" w:ascii="仿宋_GB2312"/>
          <w:sz w:val="32"/>
          <w:szCs w:val="32"/>
          <w:lang w:val="en-US" w:eastAsia="zh-CN"/>
        </w:rPr>
        <w:t>192</w:t>
      </w:r>
      <w:r>
        <w:rPr>
          <w:rFonts w:hint="eastAsia" w:ascii="仿宋_GB2312"/>
          <w:sz w:val="32"/>
          <w:szCs w:val="32"/>
        </w:rPr>
        <w:t>万元。</w:t>
      </w:r>
    </w:p>
    <w:p>
      <w:pPr>
        <w:ind w:firstLine="640" w:firstLineChars="200"/>
        <w:outlineLvl w:val="0"/>
        <w:rPr>
          <w:rFonts w:hint="eastAsia" w:ascii="仿宋_GB2312"/>
          <w:sz w:val="32"/>
          <w:szCs w:val="32"/>
        </w:rPr>
      </w:pPr>
      <w:r>
        <w:rPr>
          <w:rFonts w:hint="eastAsia" w:ascii="仿宋_GB2312"/>
          <w:sz w:val="32"/>
          <w:szCs w:val="32"/>
          <w:lang w:val="en-US" w:eastAsia="zh-CN"/>
        </w:rPr>
        <w:t>2.</w:t>
      </w:r>
      <w:r>
        <w:rPr>
          <w:rFonts w:hint="eastAsia" w:ascii="仿宋_GB2312"/>
          <w:sz w:val="32"/>
          <w:szCs w:val="32"/>
        </w:rPr>
        <w:t>质量指标。年初设定资金到位率和合规使用率年度指标值为100%，实际完成值为100%。</w:t>
      </w:r>
    </w:p>
    <w:p>
      <w:pPr>
        <w:ind w:firstLine="640" w:firstLineChars="200"/>
        <w:outlineLvl w:val="0"/>
        <w:rPr>
          <w:rFonts w:hint="eastAsia" w:ascii="仿宋_GB2312"/>
          <w:sz w:val="32"/>
          <w:szCs w:val="32"/>
        </w:rPr>
      </w:pPr>
      <w:r>
        <w:rPr>
          <w:rFonts w:hint="eastAsia" w:ascii="仿宋_GB2312"/>
          <w:sz w:val="32"/>
          <w:szCs w:val="32"/>
          <w:lang w:val="en-US" w:eastAsia="zh-CN"/>
        </w:rPr>
        <w:t>3.</w:t>
      </w:r>
      <w:r>
        <w:rPr>
          <w:rFonts w:hint="eastAsia" w:ascii="仿宋_GB2312"/>
          <w:sz w:val="32"/>
          <w:szCs w:val="32"/>
        </w:rPr>
        <w:t>时效指标。资金要求在12月31日前按时足额发放，实际均已按时发放到位。</w:t>
      </w:r>
    </w:p>
    <w:p>
      <w:pPr>
        <w:ind w:firstLine="640" w:firstLineChars="200"/>
        <w:outlineLvl w:val="0"/>
        <w:rPr>
          <w:rFonts w:hint="eastAsia" w:ascii="仿宋_GB2312"/>
          <w:sz w:val="32"/>
          <w:szCs w:val="32"/>
        </w:rPr>
      </w:pPr>
      <w:r>
        <w:rPr>
          <w:rFonts w:hint="eastAsia" w:ascii="仿宋_GB2312"/>
          <w:sz w:val="32"/>
          <w:szCs w:val="32"/>
          <w:lang w:val="en-US" w:eastAsia="zh-CN"/>
        </w:rPr>
        <w:t>4.</w:t>
      </w:r>
      <w:r>
        <w:rPr>
          <w:rFonts w:hint="eastAsia" w:ascii="仿宋_GB2312"/>
          <w:sz w:val="32"/>
          <w:szCs w:val="32"/>
        </w:rPr>
        <w:t>成本指标。管理制度健全性实际为较健全，需进一步完善。</w:t>
      </w:r>
    </w:p>
    <w:p>
      <w:pPr>
        <w:ind w:firstLine="640" w:firstLineChars="200"/>
        <w:outlineLvl w:val="0"/>
        <w:rPr>
          <w:rFonts w:ascii="仿宋_GB2312"/>
          <w:sz w:val="32"/>
          <w:szCs w:val="32"/>
        </w:rPr>
      </w:pPr>
      <w:r>
        <w:rPr>
          <w:rFonts w:hint="eastAsia" w:ascii="仿宋_GB2312"/>
          <w:sz w:val="32"/>
          <w:szCs w:val="32"/>
        </w:rPr>
        <w:t>（二）偏差</w:t>
      </w:r>
      <w:r>
        <w:rPr>
          <w:rFonts w:ascii="仿宋_GB2312"/>
          <w:sz w:val="32"/>
          <w:szCs w:val="32"/>
        </w:rPr>
        <w:t>较大项目说明</w:t>
      </w:r>
    </w:p>
    <w:p>
      <w:pPr>
        <w:ind w:firstLine="640" w:firstLineChars="200"/>
        <w:rPr>
          <w:rFonts w:ascii="仿宋_GB2312" w:hAnsi="仿宋"/>
          <w:sz w:val="32"/>
          <w:szCs w:val="32"/>
        </w:rPr>
      </w:pPr>
      <w:r>
        <w:rPr>
          <w:rFonts w:hint="eastAsia" w:ascii="仿宋_GB2312" w:hAnsi="仿宋"/>
          <w:sz w:val="32"/>
          <w:szCs w:val="32"/>
        </w:rPr>
        <w:t>无偏差较大项目</w:t>
      </w:r>
    </w:p>
    <w:p>
      <w:pPr>
        <w:ind w:firstLine="640" w:firstLineChars="200"/>
        <w:rPr>
          <w:rFonts w:ascii="黑体" w:hAnsi="黑体" w:eastAsia="黑体" w:cs="黑体"/>
          <w:bCs/>
          <w:sz w:val="32"/>
          <w:szCs w:val="32"/>
        </w:rPr>
      </w:pPr>
      <w:r>
        <w:rPr>
          <w:rFonts w:hint="eastAsia" w:ascii="黑体" w:hAnsi="黑体" w:eastAsia="黑体" w:cs="黑体"/>
          <w:bCs/>
          <w:sz w:val="32"/>
          <w:szCs w:val="32"/>
        </w:rPr>
        <w:t>四、自评发现的问题及</w:t>
      </w:r>
      <w:r>
        <w:rPr>
          <w:rFonts w:ascii="黑体" w:hAnsi="黑体" w:eastAsia="黑体" w:cs="黑体"/>
          <w:bCs/>
          <w:sz w:val="32"/>
          <w:szCs w:val="32"/>
        </w:rPr>
        <w:t>整改措施</w:t>
      </w:r>
    </w:p>
    <w:p>
      <w:pPr>
        <w:ind w:firstLine="640" w:firstLineChars="200"/>
        <w:rPr>
          <w:rFonts w:ascii="仿宋_GB2312"/>
          <w:sz w:val="32"/>
          <w:szCs w:val="32"/>
        </w:rPr>
      </w:pPr>
      <w:r>
        <w:rPr>
          <w:rFonts w:hint="eastAsia" w:ascii="仿宋_GB2312"/>
          <w:sz w:val="32"/>
          <w:szCs w:val="32"/>
        </w:rPr>
        <w:t>无存在问题</w:t>
      </w:r>
    </w:p>
    <w:p>
      <w:pPr>
        <w:ind w:firstLine="640" w:firstLineChars="200"/>
        <w:rPr>
          <w:rFonts w:ascii="黑体" w:hAnsi="黑体" w:eastAsia="黑体" w:cs="黑体"/>
          <w:bCs/>
          <w:sz w:val="32"/>
          <w:szCs w:val="32"/>
        </w:rPr>
      </w:pPr>
      <w:r>
        <w:rPr>
          <w:rFonts w:hint="eastAsia" w:ascii="黑体" w:hAnsi="黑体" w:eastAsia="黑体" w:cs="黑体"/>
          <w:bCs/>
          <w:sz w:val="32"/>
          <w:szCs w:val="32"/>
        </w:rPr>
        <w:t>五、绩效自评</w:t>
      </w:r>
      <w:r>
        <w:rPr>
          <w:rFonts w:ascii="黑体" w:hAnsi="黑体" w:eastAsia="黑体" w:cs="黑体"/>
          <w:bCs/>
          <w:sz w:val="32"/>
          <w:szCs w:val="32"/>
        </w:rPr>
        <w:t>工作建议</w:t>
      </w:r>
      <w:r>
        <w:rPr>
          <w:rFonts w:hint="eastAsia" w:ascii="黑体" w:hAnsi="黑体" w:eastAsia="黑体" w:cs="黑体"/>
          <w:bCs/>
          <w:sz w:val="32"/>
          <w:szCs w:val="32"/>
        </w:rPr>
        <w:t>及</w:t>
      </w:r>
      <w:r>
        <w:rPr>
          <w:rFonts w:ascii="黑体" w:hAnsi="黑体" w:eastAsia="黑体" w:cs="黑体"/>
          <w:bCs/>
          <w:sz w:val="32"/>
          <w:szCs w:val="32"/>
        </w:rPr>
        <w:t>预算安排建议</w:t>
      </w:r>
    </w:p>
    <w:p>
      <w:pPr>
        <w:ind w:firstLine="640" w:firstLineChars="200"/>
        <w:rPr>
          <w:rFonts w:hint="eastAsia" w:ascii="仿宋_GB2312"/>
          <w:sz w:val="32"/>
          <w:szCs w:val="32"/>
          <w:lang w:val="en-US" w:eastAsia="zh-CN"/>
        </w:rPr>
      </w:pPr>
      <w:r>
        <w:rPr>
          <w:rFonts w:hint="eastAsia" w:ascii="仿宋_GB2312"/>
          <w:sz w:val="32"/>
          <w:szCs w:val="32"/>
          <w:lang w:val="en-US" w:eastAsia="zh-CN"/>
        </w:rPr>
        <w:t>通过对养老保险基金预算绩效管理专项资金进行绩效考核，及时总结管理经验，完善管理办法，提高管理水平和资金使用效率。</w:t>
      </w:r>
    </w:p>
    <w:p>
      <w:pPr>
        <w:ind w:firstLine="640" w:firstLineChars="200"/>
        <w:rPr>
          <w:sz w:val="32"/>
          <w:szCs w:val="32"/>
        </w:rPr>
      </w:pPr>
      <w:r>
        <w:rPr>
          <w:rFonts w:hint="eastAsia" w:ascii="黑体" w:hAnsi="黑体" w:eastAsia="黑体" w:cs="黑体"/>
          <w:bCs/>
          <w:sz w:val="32"/>
          <w:szCs w:val="32"/>
        </w:rPr>
        <w:t>六</w:t>
      </w:r>
      <w:r>
        <w:rPr>
          <w:rFonts w:ascii="黑体" w:hAnsi="黑体" w:eastAsia="黑体" w:cs="黑体"/>
          <w:bCs/>
          <w:sz w:val="32"/>
          <w:szCs w:val="32"/>
        </w:rPr>
        <w:t>、</w:t>
      </w:r>
      <w:r>
        <w:rPr>
          <w:rFonts w:hint="eastAsia" w:ascii="黑体" w:hAnsi="黑体" w:eastAsia="黑体" w:cs="黑体"/>
          <w:bCs/>
          <w:sz w:val="32"/>
          <w:szCs w:val="32"/>
        </w:rPr>
        <w:t>其他需要说明的问题</w:t>
      </w:r>
      <w:bookmarkStart w:id="0" w:name="_GoBack"/>
      <w:bookmarkEnd w:id="0"/>
    </w:p>
    <w:p>
      <w:pPr>
        <w:tabs>
          <w:tab w:val="left" w:pos="620"/>
        </w:tabs>
        <w:ind w:firstLine="640" w:firstLineChars="200"/>
        <w:rPr>
          <w:rFonts w:hint="eastAsia" w:ascii="仿宋_GB2312"/>
          <w:sz w:val="32"/>
          <w:szCs w:val="32"/>
        </w:rPr>
      </w:pPr>
      <w:r>
        <w:rPr>
          <w:rFonts w:ascii="仿宋_GB2312"/>
          <w:sz w:val="32"/>
          <w:szCs w:val="32"/>
        </w:rPr>
        <w:t>无</w:t>
      </w:r>
    </w:p>
    <w:p>
      <w:pPr>
        <w:tabs>
          <w:tab w:val="left" w:pos="620"/>
        </w:tabs>
        <w:ind w:right="320" w:firstLine="640" w:firstLineChars="200"/>
        <w:jc w:val="right"/>
        <w:rPr>
          <w:rFonts w:hint="eastAsia" w:ascii="仿宋_GB2312"/>
          <w:sz w:val="32"/>
          <w:szCs w:val="32"/>
        </w:rPr>
      </w:pPr>
    </w:p>
    <w:p>
      <w:pPr>
        <w:tabs>
          <w:tab w:val="left" w:pos="620"/>
        </w:tabs>
        <w:ind w:right="320"/>
        <w:jc w:val="right"/>
        <w:rPr>
          <w:rFonts w:ascii="仿宋_GB2312"/>
          <w:sz w:val="32"/>
          <w:szCs w:val="32"/>
        </w:rPr>
      </w:pPr>
      <w:r>
        <w:rPr>
          <w:rFonts w:hint="eastAsia" w:ascii="仿宋_GB2312"/>
          <w:sz w:val="32"/>
          <w:szCs w:val="32"/>
        </w:rPr>
        <w:t>开封市中医院</w:t>
      </w:r>
    </w:p>
    <w:p>
      <w:pPr>
        <w:tabs>
          <w:tab w:val="left" w:pos="620"/>
        </w:tabs>
        <w:ind w:firstLine="640" w:firstLineChars="200"/>
        <w:jc w:val="right"/>
        <w:rPr>
          <w:rFonts w:ascii="仿宋_GB2312"/>
          <w:sz w:val="32"/>
          <w:szCs w:val="32"/>
        </w:rPr>
      </w:pPr>
      <w:r>
        <w:rPr>
          <w:rFonts w:hint="eastAsia" w:ascii="仿宋_GB2312"/>
          <w:sz w:val="32"/>
          <w:szCs w:val="32"/>
        </w:rPr>
        <w:t>202</w:t>
      </w:r>
      <w:r>
        <w:rPr>
          <w:rFonts w:hint="eastAsia" w:ascii="仿宋_GB2312"/>
          <w:sz w:val="32"/>
          <w:szCs w:val="32"/>
          <w:lang w:val="en-US" w:eastAsia="zh-CN"/>
        </w:rPr>
        <w:t>4</w:t>
      </w:r>
      <w:r>
        <w:rPr>
          <w:rFonts w:hint="eastAsia" w:ascii="仿宋_GB2312"/>
          <w:sz w:val="32"/>
          <w:szCs w:val="32"/>
        </w:rPr>
        <w:t>年5月</w:t>
      </w:r>
      <w:r>
        <w:rPr>
          <w:rFonts w:hint="eastAsia" w:ascii="仿宋_GB2312"/>
          <w:sz w:val="32"/>
          <w:szCs w:val="32"/>
          <w:lang w:val="en-US" w:eastAsia="zh-CN"/>
        </w:rPr>
        <w:t>24</w:t>
      </w:r>
      <w:r>
        <w:rPr>
          <w:rFonts w:hint="eastAsia" w:ascii="仿宋_GB2312"/>
          <w:sz w:val="32"/>
          <w:szCs w:val="32"/>
        </w:rPr>
        <w:t>日</w:t>
      </w:r>
    </w:p>
    <w:sectPr>
      <w:pgSz w:w="11906" w:h="16838"/>
      <w:pgMar w:top="1418" w:right="1797" w:bottom="1077" w:left="1797" w:header="851" w:footer="992"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Arial Unicode MS"/>
    <w:panose1 w:val="00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50"/>
  <w:drawingGridVerticalSpacing w:val="204"/>
  <w:displayHorizontalDrawingGridEvery w:val="0"/>
  <w:displayVerticalDrawingGridEvery w:val="2"/>
  <w:characterSpacingControl w:val="compressPunctuation"/>
  <w:compat>
    <w:spaceForUL/>
    <w:balanceSingleByteDoubleByteWidth/>
    <w:doNotLeaveBackslashAlone/>
    <w:ulTrailSpace/>
    <w:doNotExpandShiftReturn/>
    <w:adjustLineHeightInTable/>
    <w:doNotBreakWrappedTables/>
    <w:useFELayout/>
    <w:useAltKinsokuLineBreakRules/>
    <w:compatSetting w:name="compatibilityMode" w:uri="http://schemas.microsoft.com/office/word" w:val="12"/>
  </w:compat>
  <w:docVars>
    <w:docVar w:name="commondata" w:val="eyJoZGlkIjoiMjZmMjM3NTZhMjI4ZDFhNDA3NGZjNTkzNTRlZDVmNGQifQ=="/>
  </w:docVars>
  <w:rsids>
    <w:rsidRoot w:val="00F57F82"/>
    <w:rsid w:val="000101E1"/>
    <w:rsid w:val="00040106"/>
    <w:rsid w:val="000C7227"/>
    <w:rsid w:val="000D7703"/>
    <w:rsid w:val="000F6BDF"/>
    <w:rsid w:val="00103D16"/>
    <w:rsid w:val="00131B2D"/>
    <w:rsid w:val="0014265E"/>
    <w:rsid w:val="001664AE"/>
    <w:rsid w:val="001865C9"/>
    <w:rsid w:val="001871AC"/>
    <w:rsid w:val="001A3E44"/>
    <w:rsid w:val="002013C2"/>
    <w:rsid w:val="0020724A"/>
    <w:rsid w:val="00261E61"/>
    <w:rsid w:val="0026348F"/>
    <w:rsid w:val="00263BFC"/>
    <w:rsid w:val="00266466"/>
    <w:rsid w:val="00291940"/>
    <w:rsid w:val="00293B12"/>
    <w:rsid w:val="002C4144"/>
    <w:rsid w:val="003131A0"/>
    <w:rsid w:val="003375EE"/>
    <w:rsid w:val="00357ADB"/>
    <w:rsid w:val="003A3A5F"/>
    <w:rsid w:val="00403402"/>
    <w:rsid w:val="00404E64"/>
    <w:rsid w:val="00411EBD"/>
    <w:rsid w:val="004121A9"/>
    <w:rsid w:val="004E6DA0"/>
    <w:rsid w:val="005154E8"/>
    <w:rsid w:val="00531B7F"/>
    <w:rsid w:val="005B25F9"/>
    <w:rsid w:val="005C6046"/>
    <w:rsid w:val="00612C65"/>
    <w:rsid w:val="00622EF4"/>
    <w:rsid w:val="006253F8"/>
    <w:rsid w:val="00643346"/>
    <w:rsid w:val="0069333E"/>
    <w:rsid w:val="006B1055"/>
    <w:rsid w:val="006E5955"/>
    <w:rsid w:val="0073678B"/>
    <w:rsid w:val="00781435"/>
    <w:rsid w:val="007967B9"/>
    <w:rsid w:val="007F1D75"/>
    <w:rsid w:val="0081746D"/>
    <w:rsid w:val="008353BC"/>
    <w:rsid w:val="00847870"/>
    <w:rsid w:val="00863E10"/>
    <w:rsid w:val="00873E40"/>
    <w:rsid w:val="008A6189"/>
    <w:rsid w:val="009423BB"/>
    <w:rsid w:val="0095655A"/>
    <w:rsid w:val="009863FE"/>
    <w:rsid w:val="009B6CFF"/>
    <w:rsid w:val="009C2225"/>
    <w:rsid w:val="009C6D1F"/>
    <w:rsid w:val="009D3759"/>
    <w:rsid w:val="00A13338"/>
    <w:rsid w:val="00A44B5B"/>
    <w:rsid w:val="00A710E6"/>
    <w:rsid w:val="00A7654D"/>
    <w:rsid w:val="00A8522E"/>
    <w:rsid w:val="00A96290"/>
    <w:rsid w:val="00A97EB4"/>
    <w:rsid w:val="00AE3F98"/>
    <w:rsid w:val="00AF4D10"/>
    <w:rsid w:val="00B07A6C"/>
    <w:rsid w:val="00B32313"/>
    <w:rsid w:val="00B33813"/>
    <w:rsid w:val="00B3790C"/>
    <w:rsid w:val="00B51EAC"/>
    <w:rsid w:val="00B529C9"/>
    <w:rsid w:val="00B64F9E"/>
    <w:rsid w:val="00B740AB"/>
    <w:rsid w:val="00BB7F56"/>
    <w:rsid w:val="00BC40AF"/>
    <w:rsid w:val="00BD710F"/>
    <w:rsid w:val="00C05486"/>
    <w:rsid w:val="00C05752"/>
    <w:rsid w:val="00C44841"/>
    <w:rsid w:val="00C74617"/>
    <w:rsid w:val="00C74E5C"/>
    <w:rsid w:val="00CA416B"/>
    <w:rsid w:val="00CA5025"/>
    <w:rsid w:val="00CC175E"/>
    <w:rsid w:val="00CD453E"/>
    <w:rsid w:val="00CF0910"/>
    <w:rsid w:val="00D21E0E"/>
    <w:rsid w:val="00D433C7"/>
    <w:rsid w:val="00DA4305"/>
    <w:rsid w:val="00DA5A9F"/>
    <w:rsid w:val="00DB348B"/>
    <w:rsid w:val="00DD6D9F"/>
    <w:rsid w:val="00DD7197"/>
    <w:rsid w:val="00DF524C"/>
    <w:rsid w:val="00E65699"/>
    <w:rsid w:val="00E87F65"/>
    <w:rsid w:val="00E95F83"/>
    <w:rsid w:val="00EB26CF"/>
    <w:rsid w:val="00EE6A65"/>
    <w:rsid w:val="00F0069D"/>
    <w:rsid w:val="00F323C8"/>
    <w:rsid w:val="00F57F82"/>
    <w:rsid w:val="00F61DCA"/>
    <w:rsid w:val="00F66667"/>
    <w:rsid w:val="00F84331"/>
    <w:rsid w:val="00FA5D52"/>
    <w:rsid w:val="00FC3462"/>
    <w:rsid w:val="00FF6F75"/>
    <w:rsid w:val="0E7B4B63"/>
    <w:rsid w:val="17111BA2"/>
    <w:rsid w:val="19E40780"/>
    <w:rsid w:val="1A3C6C4F"/>
    <w:rsid w:val="1D8048F0"/>
    <w:rsid w:val="2C2935DB"/>
    <w:rsid w:val="2E106174"/>
    <w:rsid w:val="332B6989"/>
    <w:rsid w:val="3454129D"/>
    <w:rsid w:val="4A3809DD"/>
    <w:rsid w:val="4BA014AA"/>
    <w:rsid w:val="51971756"/>
    <w:rsid w:val="5C0A0310"/>
    <w:rsid w:val="67854E62"/>
    <w:rsid w:val="76AE78C8"/>
    <w:rsid w:val="FFFD326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qFormat/>
    <w:uiPriority w:val="0"/>
    <w:rPr>
      <w:sz w:val="18"/>
      <w:szCs w:val="18"/>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link w:val="4"/>
    <w:qFormat/>
    <w:uiPriority w:val="0"/>
    <w:rPr>
      <w:rFonts w:eastAsia="仿宋_GB2312"/>
      <w:kern w:val="2"/>
      <w:sz w:val="18"/>
      <w:szCs w:val="18"/>
    </w:rPr>
  </w:style>
  <w:style w:type="character" w:customStyle="1" w:styleId="9">
    <w:name w:val="页脚 Char"/>
    <w:link w:val="3"/>
    <w:qFormat/>
    <w:uiPriority w:val="0"/>
    <w:rPr>
      <w:rFonts w:eastAsia="仿宋_GB2312"/>
      <w:kern w:val="2"/>
      <w:sz w:val="18"/>
      <w:szCs w:val="18"/>
    </w:rPr>
  </w:style>
  <w:style w:type="character" w:customStyle="1" w:styleId="10">
    <w:name w:val="批注框文本 Char"/>
    <w:link w:val="2"/>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512</Words>
  <Characters>539</Characters>
  <Lines>1</Lines>
  <Paragraphs>1</Paragraphs>
  <TotalTime>30</TotalTime>
  <ScaleCrop>false</ScaleCrop>
  <LinksUpToDate>false</LinksUpToDate>
  <CharactersWithSpaces>539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2024-05-20T01:35:00Z</dcterms:created>
  <dc:creator>lhn</dc:creator>
  <cp:lastModifiedBy>微信用户</cp:lastModifiedBy>
  <cp:lastPrinted>2019-08-16T09:07:00Z</cp:lastPrinted>
  <dcterms:modified xsi:type="dcterms:W3CDTF">2024-05-24T02:59:21Z</dcterms:modified>
  <dc:title>财政支出绩效评价报告</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3A10D8DF016444A8A125E9A0F5122D8E_12</vt:lpwstr>
  </property>
</Properties>
</file>